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5622DF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5622D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4B73EC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Uganda</w:t>
            </w:r>
            <w:bookmarkEnd w:id="1"/>
            <w:r w:rsidRPr="002F6A28">
              <w:t xml:space="preserve"> </w:t>
            </w:r>
          </w:p>
          <w:p w:rsidR="00F85C99" w:rsidRPr="002F6A28" w:rsidRDefault="005622DF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Uganda National Bureau of Standards</w:t>
            </w:r>
            <w:bookmarkEnd w:id="5"/>
          </w:p>
          <w:p w:rsidR="00F85C99" w:rsidRPr="002F6A28" w:rsidRDefault="005622DF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  <w:bookmarkEnd w:id="7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5622DF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X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Silk (sheen) emulsion paint; Paints and varnishes (including enamels and lacquers) based on synthetic polymers or chemically modified natural polymers, dispersed or dissolved in an aqueous medium (HS 3209); Paints and varnishes (ICS 87.040)</w:t>
            </w:r>
            <w:bookmarkStart w:id="20" w:name="sps3a"/>
            <w:bookmarkEnd w:id="20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DUS DEAS 849:2019, Silk (sheen) emulsion paint for interior use — Specification, Second Edition (24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</w:t>
            </w:r>
            <w:proofErr w:type="gramStart"/>
            <w:r w:rsidR="00FE448B" w:rsidRPr="00C379C8">
              <w:t>This  Draft</w:t>
            </w:r>
            <w:proofErr w:type="gramEnd"/>
            <w:r w:rsidR="00FE448B" w:rsidRPr="00C379C8">
              <w:t xml:space="preserve"> Uganda Standard specifies requirements, sampling and test methods for silk (sheen) emulsion paint for interior use.</w:t>
            </w:r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Consumer information, labelling; Prevention of deceptive practices and consumer protection; Protection of human health or safety; Quality requirements; Harmonization; Reducing trade barriers and facilitating trade</w:t>
            </w:r>
            <w:bookmarkStart w:id="27" w:name="sps7f"/>
            <w:bookmarkEnd w:id="27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5622DF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G/TBT/N/UGA/501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EAS 849: </w:t>
            </w:r>
            <w:proofErr w:type="gramStart"/>
            <w:r w:rsidRPr="002F6A28">
              <w:rPr>
                <w:bCs/>
              </w:rPr>
              <w:t>2016,Silk</w:t>
            </w:r>
            <w:proofErr w:type="gramEnd"/>
            <w:r w:rsidRPr="002F6A28">
              <w:rPr>
                <w:bCs/>
              </w:rPr>
              <w:t xml:space="preserve"> (sheen) emulsion paint for interior use — Specification,First Edition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EAS 31, Laundry soaps — Specification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591-1, Titanium dioxide pigments for paints — Part 1: Specifications and methods of test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2811, (all parts), Paints and varnishes — Determination of density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2813, Paints and varnishes — Determination of gloss value at 20 degrees, 60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degrees and 85 degrees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>ISO 3251, Paints varnishes and plastics — Determination of non-volatile content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ISO 6503, Paints and varnishes — Determination of total lead — Flame atomic absorption spectrometric method".ISO 4618, Paints and varnishes — Terms and </w:t>
            </w:r>
            <w:r w:rsidRPr="002F6A28">
              <w:rPr>
                <w:bCs/>
              </w:rPr>
              <w:lastRenderedPageBreak/>
              <w:t>definitions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Pr="002F6A28">
              <w:rPr>
                <w:bCs/>
              </w:rPr>
              <w:t xml:space="preserve">ISO 6504-3, Paints and varnishes — Determination of hiding power — Part 3: Determination of contrast ratio of </w:t>
            </w:r>
            <w:proofErr w:type="gramStart"/>
            <w:r w:rsidRPr="002F6A28">
              <w:rPr>
                <w:bCs/>
              </w:rPr>
              <w:t>light coloured</w:t>
            </w:r>
            <w:proofErr w:type="gramEnd"/>
            <w:r w:rsidRPr="002F6A28">
              <w:rPr>
                <w:bCs/>
              </w:rPr>
              <w:t xml:space="preserve"> paints at a fixed spreading rate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9117-3, Paints and varnishes — Drying test — Part 3: Surface drying test using Ballotini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ISO 15528, Paints, varnishes and raw materials for paints and varnishes — Sampling</w:t>
            </w:r>
          </w:p>
          <w:p w:rsidR="004B73EC" w:rsidRPr="002F6A28" w:rsidRDefault="005622DF" w:rsidP="005622DF">
            <w:pPr>
              <w:numPr>
                <w:ilvl w:val="0"/>
                <w:numId w:val="16"/>
              </w:numPr>
              <w:spacing w:before="120" w:after="120"/>
              <w:ind w:left="840" w:hanging="480"/>
              <w:jc w:val="left"/>
              <w:rPr>
                <w:bCs/>
              </w:rPr>
            </w:pPr>
            <w:r w:rsidRPr="002F6A28">
              <w:rPr>
                <w:bCs/>
              </w:rPr>
              <w:t>KS 811:2013, Silk (sheen) emulsion paints for interior and exterior use — Specification</w:t>
            </w:r>
          </w:p>
        </w:tc>
      </w:tr>
      <w:tr w:rsidR="004B73EC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622D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622DF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June 2020</w:t>
            </w:r>
            <w:bookmarkEnd w:id="31"/>
          </w:p>
          <w:p w:rsidR="00EE3A11" w:rsidRPr="002F6A28" w:rsidRDefault="005622DF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Upon declaration as mandatory by the Minister for Trade, Industry and Cooperatives</w:t>
            </w:r>
            <w:bookmarkEnd w:id="34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622DF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4B73EC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622D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622DF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4B73EC" w:rsidRPr="002F6A28" w:rsidRDefault="002E0391" w:rsidP="00B16145">
            <w:pPr>
              <w:keepNext/>
              <w:keepLines/>
              <w:spacing w:before="120" w:after="120"/>
            </w:pPr>
            <w:hyperlink r:id="rId7" w:history="1">
              <w:r w:rsidR="005622DF" w:rsidRPr="002F6A28">
                <w:rPr>
                  <w:color w:val="0000FF"/>
                  <w:u w:val="single"/>
                </w:rPr>
                <w:t>https://members.wto.org/crnattachments/2020/TBT/UGA/20_0254_00_e.pdf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562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134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5AFB" w:rsidRDefault="005622DF">
      <w:r>
        <w:separator/>
      </w:r>
    </w:p>
  </w:endnote>
  <w:endnote w:type="continuationSeparator" w:id="0">
    <w:p w:rsidR="000B5AFB" w:rsidRDefault="0056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622DF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622DF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5622DF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5AFB" w:rsidRDefault="005622DF">
      <w:r>
        <w:separator/>
      </w:r>
    </w:p>
  </w:footnote>
  <w:footnote w:type="continuationSeparator" w:id="0">
    <w:p w:rsidR="000B5AFB" w:rsidRDefault="00562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622DF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622DF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622DF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G/TBT/N/UGA/1159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622DF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B73EC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4B73EC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E0391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B73EC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5622DF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G/TBT/N/UGA/1159</w:t>
          </w:r>
          <w:bookmarkEnd w:id="43"/>
        </w:p>
      </w:tc>
    </w:tr>
    <w:tr w:rsidR="004B73EC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5622DF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4B73EC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622DF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2E0391">
            <w:rPr>
              <w:color w:val="FF0000"/>
              <w:szCs w:val="16"/>
            </w:rPr>
            <w:t>0182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622D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B73EC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5622D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5622D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BB5E9C70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CC65CDC" w:tentative="1">
      <w:start w:val="1"/>
      <w:numFmt w:val="lowerLetter"/>
      <w:lvlText w:val="%2."/>
      <w:lvlJc w:val="left"/>
      <w:pPr>
        <w:ind w:left="1080" w:hanging="360"/>
      </w:pPr>
    </w:lvl>
    <w:lvl w:ilvl="2" w:tplc="E5AA416C" w:tentative="1">
      <w:start w:val="1"/>
      <w:numFmt w:val="lowerRoman"/>
      <w:lvlText w:val="%3."/>
      <w:lvlJc w:val="right"/>
      <w:pPr>
        <w:ind w:left="1800" w:hanging="180"/>
      </w:pPr>
    </w:lvl>
    <w:lvl w:ilvl="3" w:tplc="30AA7796" w:tentative="1">
      <w:start w:val="1"/>
      <w:numFmt w:val="decimal"/>
      <w:lvlText w:val="%4."/>
      <w:lvlJc w:val="left"/>
      <w:pPr>
        <w:ind w:left="2520" w:hanging="360"/>
      </w:pPr>
    </w:lvl>
    <w:lvl w:ilvl="4" w:tplc="10F83F34" w:tentative="1">
      <w:start w:val="1"/>
      <w:numFmt w:val="lowerLetter"/>
      <w:lvlText w:val="%5."/>
      <w:lvlJc w:val="left"/>
      <w:pPr>
        <w:ind w:left="3240" w:hanging="360"/>
      </w:pPr>
    </w:lvl>
    <w:lvl w:ilvl="5" w:tplc="263E90A2" w:tentative="1">
      <w:start w:val="1"/>
      <w:numFmt w:val="lowerRoman"/>
      <w:lvlText w:val="%6."/>
      <w:lvlJc w:val="right"/>
      <w:pPr>
        <w:ind w:left="3960" w:hanging="180"/>
      </w:pPr>
    </w:lvl>
    <w:lvl w:ilvl="6" w:tplc="28105DBE" w:tentative="1">
      <w:start w:val="1"/>
      <w:numFmt w:val="decimal"/>
      <w:lvlText w:val="%7."/>
      <w:lvlJc w:val="left"/>
      <w:pPr>
        <w:ind w:left="4680" w:hanging="360"/>
      </w:pPr>
    </w:lvl>
    <w:lvl w:ilvl="7" w:tplc="C530406A" w:tentative="1">
      <w:start w:val="1"/>
      <w:numFmt w:val="lowerLetter"/>
      <w:lvlText w:val="%8."/>
      <w:lvlJc w:val="left"/>
      <w:pPr>
        <w:ind w:left="5400" w:hanging="360"/>
      </w:pPr>
    </w:lvl>
    <w:lvl w:ilvl="8" w:tplc="944EE3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B5AFB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0391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B73EC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22D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FC8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254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462</Words>
  <Characters>2768</Characters>
  <Application>Microsoft Office Word</Application>
  <DocSecurity>0</DocSecurity>
  <Lines>65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